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20AA" w:rsidRDefault="00000000">
      <w:pPr>
        <w:spacing w:before="80" w:after="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hAnsi="Garamond" w:cs="Garamond"/>
          <w:color w:val="19191A"/>
          <w:sz w:val="24"/>
          <w:szCs w:val="24"/>
        </w:rPr>
        <w:t xml:space="preserve">COMUNICAZIONE PUBBLICAZIONE AVVISO </w:t>
      </w:r>
      <w:r>
        <w:rPr>
          <w:rFonts w:ascii="Garamond" w:eastAsia="Garamond" w:hAnsi="Garamond" w:cs="Garamond"/>
          <w:sz w:val="24"/>
          <w:szCs w:val="24"/>
        </w:rPr>
        <w:t xml:space="preserve">PUBBLICO PER L'ASSEGNAZIONE IN CONCESSIONE D'USO, IN ORARIO EXTRASCOLASTICO, DELLE PALESTRE SCOLASTICHE COMUNALI </w:t>
      </w:r>
    </w:p>
    <w:p w:rsidR="00E620AA" w:rsidRDefault="00000000">
      <w:pPr>
        <w:spacing w:before="80" w:after="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– ANNI SPORTIVI 2026/2027 e 2027/2028 -</w:t>
      </w:r>
    </w:p>
    <w:p w:rsidR="00E620AA" w:rsidRDefault="00000000">
      <w:pPr>
        <w:spacing w:after="1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indetto con Determinazione Area III R.G. n. 1167 del 08-09-2026, ai sensi del Regolamento comunale approvato con D.C.C. n. 18 del 27.12.2019 e della D.G.C. n. 157 del 31.10.2023</w:t>
      </w:r>
    </w:p>
    <w:p w:rsidR="00E620AA" w:rsidRDefault="00E620AA">
      <w:pPr>
        <w:spacing w:after="0" w:line="360" w:lineRule="auto"/>
        <w:jc w:val="center"/>
        <w:rPr>
          <w:rFonts w:ascii="Garamond" w:hAnsi="Garamond" w:cs="Garamond"/>
          <w:b/>
          <w:bCs/>
          <w:color w:val="19191A"/>
          <w:sz w:val="24"/>
          <w:szCs w:val="24"/>
        </w:rPr>
      </w:pPr>
    </w:p>
    <w:p w:rsidR="00E620AA" w:rsidRDefault="00000000">
      <w:pPr>
        <w:spacing w:after="0" w:line="360" w:lineRule="auto"/>
        <w:ind w:firstLine="720"/>
        <w:jc w:val="both"/>
        <w:rPr>
          <w:rFonts w:ascii="Garamond" w:hAnsi="Garamond" w:cs="Garamond"/>
          <w:color w:val="19191A"/>
          <w:sz w:val="24"/>
          <w:szCs w:val="24"/>
        </w:rPr>
      </w:pPr>
      <w:r>
        <w:rPr>
          <w:rFonts w:ascii="Garamond" w:hAnsi="Garamond" w:cs="Garamond"/>
          <w:color w:val="19191A"/>
          <w:sz w:val="24"/>
          <w:szCs w:val="24"/>
        </w:rPr>
        <w:t>Si informa la cittadinanza, gli operatori economici e tutti i soggetti interessati che l’Area III dell’Ente ha pubblicato la Procedura di gara di cui all’oggetto.</w:t>
      </w:r>
    </w:p>
    <w:p w:rsidR="00E620AA" w:rsidRDefault="00E620AA">
      <w:pPr>
        <w:spacing w:after="0" w:line="360" w:lineRule="auto"/>
        <w:jc w:val="both"/>
        <w:rPr>
          <w:rFonts w:ascii="Garamond" w:hAnsi="Garamond" w:cs="Garamond"/>
          <w:color w:val="19191A"/>
          <w:sz w:val="24"/>
          <w:szCs w:val="24"/>
        </w:rPr>
      </w:pPr>
    </w:p>
    <w:p w:rsidR="00E620AA" w:rsidRPr="00570E73" w:rsidRDefault="00000000">
      <w:pPr>
        <w:spacing w:after="0" w:line="360" w:lineRule="auto"/>
        <w:ind w:firstLine="720"/>
        <w:jc w:val="both"/>
        <w:rPr>
          <w:rFonts w:ascii="Garamond" w:eastAsia="Garamond" w:hAnsi="Garamond" w:cs="Garamond"/>
          <w:b/>
          <w:bCs/>
          <w:color w:val="161616"/>
          <w:sz w:val="28"/>
          <w:szCs w:val="24"/>
        </w:rPr>
      </w:pPr>
      <w:r>
        <w:rPr>
          <w:rFonts w:ascii="Garamond" w:hAnsi="Garamond" w:cs="Garamond"/>
          <w:color w:val="19191A"/>
          <w:sz w:val="24"/>
          <w:szCs w:val="24"/>
        </w:rPr>
        <w:t>Il testo integrale della procedura, con tutte le informazioni utili, è consultabile al seguente link:</w:t>
      </w:r>
      <w:r>
        <w:rPr>
          <w:rFonts w:ascii="Garamond" w:hAnsi="Garamond" w:cs="Garamond"/>
          <w:color w:val="19191A"/>
          <w:sz w:val="24"/>
          <w:szCs w:val="24"/>
        </w:rPr>
        <w:br/>
      </w:r>
      <w:r>
        <w:rPr>
          <w:rFonts w:ascii="Segoe UI Emoji" w:hAnsi="Segoe UI Emoji" w:cs="Segoe UI Emoji"/>
          <w:color w:val="19191A"/>
          <w:sz w:val="24"/>
          <w:szCs w:val="24"/>
        </w:rPr>
        <w:t xml:space="preserve">                👉         </w:t>
      </w:r>
      <w:hyperlink r:id="rId7" w:history="1">
        <w:r w:rsidR="00570E73" w:rsidRPr="00570E73">
          <w:rPr>
            <w:rStyle w:val="Collegamentoipertestuale"/>
            <w:b/>
            <w:bCs/>
            <w:sz w:val="24"/>
            <w:szCs w:val="24"/>
          </w:rPr>
          <w:t>https://comunemondragone.traspare.com/market_surveys/4</w:t>
        </w:r>
      </w:hyperlink>
    </w:p>
    <w:p w:rsidR="00E620AA" w:rsidRDefault="00E620AA">
      <w:pPr>
        <w:spacing w:after="0" w:line="360" w:lineRule="auto"/>
        <w:ind w:firstLine="720"/>
        <w:jc w:val="both"/>
        <w:rPr>
          <w:rFonts w:ascii="Garamond" w:hAnsi="Garamond" w:cs="Garamond"/>
          <w:sz w:val="24"/>
          <w:szCs w:val="24"/>
        </w:rPr>
      </w:pPr>
    </w:p>
    <w:p w:rsidR="00E620AA" w:rsidRDefault="00000000">
      <w:pPr>
        <w:spacing w:after="0" w:line="360" w:lineRule="auto"/>
        <w:ind w:firstLine="720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Le Associazioni e Società Sportive Dilettantistiche interessate sono invitate a prendere visione degli atti di gara e a presentare la propria istanza, esclusivamente in modalità telematica sulla piattaforma TRASPARE, entro il termine perentorio delle ore 12:00 del giorno 24/09/2026, secondo le modalità indicate nell'Avviso pubblico</w:t>
      </w:r>
    </w:p>
    <w:p w:rsidR="00E620AA" w:rsidRDefault="00E620AA">
      <w:pPr>
        <w:spacing w:after="0" w:line="360" w:lineRule="auto"/>
        <w:jc w:val="both"/>
        <w:rPr>
          <w:rFonts w:ascii="Garamond" w:hAnsi="Garamond" w:cs="Garamond"/>
          <w:color w:val="19191A"/>
          <w:sz w:val="24"/>
          <w:szCs w:val="24"/>
        </w:rPr>
      </w:pPr>
    </w:p>
    <w:p w:rsidR="00E620AA" w:rsidRDefault="00000000">
      <w:pPr>
        <w:spacing w:after="0" w:line="360" w:lineRule="auto"/>
        <w:ind w:firstLine="720"/>
        <w:jc w:val="both"/>
        <w:rPr>
          <w:rFonts w:ascii="Garamond" w:hAnsi="Garamond" w:cs="Garamond"/>
          <w:color w:val="19191A"/>
          <w:sz w:val="24"/>
          <w:szCs w:val="24"/>
        </w:rPr>
      </w:pPr>
      <w:r>
        <w:rPr>
          <w:rFonts w:ascii="Garamond" w:hAnsi="Garamond" w:cs="Garamond"/>
          <w:color w:val="19191A"/>
          <w:sz w:val="24"/>
          <w:szCs w:val="24"/>
        </w:rPr>
        <w:t>Per ulteriori informazioni è possibile contattare l’Area III del Comune di Mondragone.</w:t>
      </w:r>
    </w:p>
    <w:p w:rsidR="00E620AA" w:rsidRDefault="00E620AA">
      <w:pPr>
        <w:tabs>
          <w:tab w:val="left" w:pos="3080"/>
        </w:tabs>
        <w:spacing w:after="0" w:line="360" w:lineRule="auto"/>
        <w:rPr>
          <w:rFonts w:ascii="Garamond" w:hAnsi="Garamond" w:cs="Garamond"/>
          <w:sz w:val="24"/>
          <w:szCs w:val="24"/>
        </w:rPr>
      </w:pPr>
    </w:p>
    <w:p w:rsidR="00E620AA" w:rsidRDefault="00000000">
      <w:pPr>
        <w:tabs>
          <w:tab w:val="left" w:pos="3080"/>
        </w:tabs>
        <w:spacing w:after="0" w:line="36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                                                                 </w:t>
      </w:r>
    </w:p>
    <w:p w:rsidR="00E620AA" w:rsidRDefault="00E620AA">
      <w:pPr>
        <w:tabs>
          <w:tab w:val="left" w:pos="3080"/>
        </w:tabs>
        <w:spacing w:after="0" w:line="360" w:lineRule="auto"/>
        <w:rPr>
          <w:rFonts w:ascii="Garamond" w:hAnsi="Garamond" w:cs="Garamond"/>
          <w:sz w:val="24"/>
          <w:szCs w:val="24"/>
        </w:rPr>
      </w:pPr>
    </w:p>
    <w:p w:rsidR="00E620AA" w:rsidRDefault="00000000">
      <w:pPr>
        <w:tabs>
          <w:tab w:val="left" w:pos="3080"/>
        </w:tabs>
        <w:spacing w:after="0" w:line="360" w:lineRule="auto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                                                                       IL RESPONSABILE DELL’AREA III</w:t>
      </w:r>
    </w:p>
    <w:p w:rsidR="00E620AA" w:rsidRDefault="00000000">
      <w:pPr>
        <w:tabs>
          <w:tab w:val="left" w:pos="3080"/>
        </w:tabs>
        <w:spacing w:after="0" w:line="360" w:lineRule="auto"/>
        <w:ind w:left="1418" w:hanging="1418"/>
        <w:jc w:val="center"/>
        <w:rPr>
          <w:rFonts w:ascii="Garamond" w:hAnsi="Garamond" w:cs="Garamond"/>
          <w:i/>
          <w:iCs/>
          <w:sz w:val="24"/>
          <w:szCs w:val="24"/>
        </w:rPr>
      </w:pPr>
      <w:r>
        <w:rPr>
          <w:rFonts w:ascii="Garamond" w:hAnsi="Garamond" w:cs="Garamond"/>
          <w:i/>
          <w:iCs/>
          <w:sz w:val="24"/>
          <w:szCs w:val="24"/>
        </w:rPr>
        <w:t xml:space="preserve">                                           Arch. Gioacchino Rosario De Michele</w:t>
      </w:r>
    </w:p>
    <w:p w:rsidR="00E620AA" w:rsidRDefault="00E620AA">
      <w:pPr>
        <w:tabs>
          <w:tab w:val="left" w:pos="3080"/>
        </w:tabs>
        <w:spacing w:after="0" w:line="360" w:lineRule="auto"/>
        <w:jc w:val="right"/>
        <w:rPr>
          <w:rFonts w:ascii="Garamond" w:hAnsi="Garamond" w:cs="Garamond"/>
          <w:sz w:val="24"/>
          <w:szCs w:val="24"/>
        </w:rPr>
      </w:pPr>
    </w:p>
    <w:p w:rsidR="00E620AA" w:rsidRDefault="00E620AA">
      <w:pPr>
        <w:tabs>
          <w:tab w:val="left" w:pos="3080"/>
        </w:tabs>
        <w:spacing w:after="0" w:line="360" w:lineRule="auto"/>
        <w:rPr>
          <w:rFonts w:ascii="Garamond" w:hAnsi="Garamond" w:cs="Garamond"/>
          <w:sz w:val="24"/>
          <w:szCs w:val="24"/>
        </w:rPr>
      </w:pPr>
    </w:p>
    <w:p w:rsidR="00E620AA" w:rsidRDefault="00000000">
      <w:pPr>
        <w:tabs>
          <w:tab w:val="left" w:pos="3080"/>
        </w:tabs>
        <w:spacing w:after="0" w:line="240" w:lineRule="auto"/>
        <w:ind w:left="1418" w:hanging="1418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i/>
          <w:iCs/>
          <w:sz w:val="24"/>
          <w:szCs w:val="24"/>
        </w:rPr>
        <w:t xml:space="preserve">                                                </w:t>
      </w:r>
    </w:p>
    <w:p w:rsidR="00E620AA" w:rsidRDefault="00000000">
      <w:pPr>
        <w:tabs>
          <w:tab w:val="left" w:pos="3080"/>
        </w:tabs>
        <w:spacing w:after="0" w:line="360" w:lineRule="auto"/>
        <w:ind w:left="1418" w:hanging="1418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           </w:t>
      </w:r>
    </w:p>
    <w:sectPr w:rsidR="00E620AA">
      <w:headerReference w:type="default" r:id="rId8"/>
      <w:footerReference w:type="default" r:id="rId9"/>
      <w:pgSz w:w="11906" w:h="16838"/>
      <w:pgMar w:top="1300" w:right="1020" w:bottom="776" w:left="102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1B8A" w:rsidRDefault="008A1B8A">
      <w:pPr>
        <w:spacing w:after="0" w:line="240" w:lineRule="auto"/>
      </w:pPr>
      <w:r>
        <w:separator/>
      </w:r>
    </w:p>
  </w:endnote>
  <w:endnote w:type="continuationSeparator" w:id="0">
    <w:p w:rsidR="008A1B8A" w:rsidRDefault="008A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Blackadder ITC">
    <w:panose1 w:val="04020505050007020D02"/>
    <w:charset w:val="00"/>
    <w:family w:val="decorative"/>
    <w:pitch w:val="variable"/>
    <w:sig w:usb0="00000003" w:usb1="00000000" w:usb2="00000000" w:usb3="00000000" w:csb0="00000001" w:csb1="00000000"/>
  </w:font>
  <w:font w:name="LFAEH F+ Gill Sans;Calibri">
    <w:altName w:val="Cambria"/>
    <w:panose1 w:val="020B0604020202020204"/>
    <w:charset w:val="00"/>
    <w:family w:val="roman"/>
    <w:notTrueType/>
    <w:pitch w:val="default"/>
  </w:font>
  <w:font w:name="NewAster;Cambria">
    <w:altName w:val="Cambria"/>
    <w:panose1 w:val="020B06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1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0AA" w:rsidRDefault="00E620AA">
    <w:pPr>
      <w:pStyle w:val="Pidipagina"/>
    </w:pPr>
  </w:p>
  <w:p w:rsidR="00E620AA" w:rsidRDefault="00000000">
    <w:pPr>
      <w:pStyle w:val="Pidipagina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1B8A" w:rsidRDefault="008A1B8A">
      <w:pPr>
        <w:spacing w:after="0" w:line="240" w:lineRule="auto"/>
      </w:pPr>
      <w:r>
        <w:separator/>
      </w:r>
    </w:p>
  </w:footnote>
  <w:footnote w:type="continuationSeparator" w:id="0">
    <w:p w:rsidR="008A1B8A" w:rsidRDefault="008A1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0AA" w:rsidRDefault="00000000">
    <w:pPr>
      <w:widowControl w:val="0"/>
      <w:tabs>
        <w:tab w:val="left" w:pos="9298"/>
      </w:tabs>
      <w:spacing w:after="0" w:line="240" w:lineRule="auto"/>
      <w:jc w:val="center"/>
      <w:rPr>
        <w:rFonts w:ascii="Garamond" w:hAnsi="Garamond" w:cs="Garamond"/>
        <w:sz w:val="52"/>
        <w:szCs w:val="5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8" o:spid="_x0000_s1025" type="#_x0000_t75" style="position:absolute;left:0;text-align:left;margin-left:0;margin-top:-15pt;width:70.55pt;height:93.6pt;z-index:-1;visibility:visible;mso-wrap-style:square;mso-wrap-distance-left:0;mso-wrap-distance-top:0;mso-wrap-distance-right:9.05pt;mso-wrap-distance-bottom:0;mso-position-horizontal:left;mso-position-horizontal-relative:margin;mso-position-vertical:absolute;mso-position-vertical-relative:text" o:allowincell="f">
          <v:imagedata r:id="rId1" o:title="" croptop="-20f" cropbottom="-20f" cropleft="-26f" cropright="-26f"/>
          <w10:wrap anchorx="margin"/>
        </v:shape>
      </w:pict>
    </w:r>
    <w:r>
      <w:rPr>
        <w:rFonts w:ascii="Garamond" w:hAnsi="Garamond" w:cs="Garamond"/>
        <w:sz w:val="52"/>
        <w:szCs w:val="52"/>
      </w:rPr>
      <w:t>CITTÀ DI MONDRAGONE</w:t>
    </w:r>
  </w:p>
  <w:p w:rsidR="00E620AA" w:rsidRDefault="00000000">
    <w:pPr>
      <w:widowControl w:val="0"/>
      <w:spacing w:after="0" w:line="240" w:lineRule="auto"/>
      <w:jc w:val="center"/>
      <w:rPr>
        <w:rFonts w:ascii="Garamond" w:hAnsi="Garamond" w:cs="Garamond"/>
        <w:bCs/>
        <w:i/>
        <w:iCs/>
        <w:sz w:val="28"/>
        <w:szCs w:val="28"/>
      </w:rPr>
    </w:pPr>
    <w:r>
      <w:rPr>
        <w:rFonts w:ascii="Garamond" w:hAnsi="Garamond" w:cs="Garamond"/>
        <w:bCs/>
        <w:i/>
        <w:iCs/>
        <w:sz w:val="28"/>
        <w:szCs w:val="28"/>
      </w:rPr>
      <w:t>Medaglia d’Oro al Merito Civile</w:t>
    </w:r>
  </w:p>
  <w:p w:rsidR="00E620AA" w:rsidRDefault="00000000">
    <w:pPr>
      <w:widowControl w:val="0"/>
      <w:spacing w:after="0" w:line="240" w:lineRule="auto"/>
      <w:jc w:val="center"/>
      <w:rPr>
        <w:rFonts w:ascii="Garamond" w:hAnsi="Garamond" w:cs="Garamond"/>
      </w:rPr>
    </w:pPr>
    <w:r>
      <w:rPr>
        <w:rFonts w:ascii="Garamond" w:hAnsi="Garamond" w:cs="Garamond"/>
      </w:rPr>
      <w:t>(Provincia di Caserta)</w:t>
    </w:r>
  </w:p>
  <w:p w:rsidR="00E620AA" w:rsidRDefault="00000000">
    <w:pPr>
      <w:spacing w:after="0" w:line="240" w:lineRule="auto"/>
      <w:jc w:val="center"/>
      <w:rPr>
        <w:rFonts w:ascii="Garamond" w:hAnsi="Garamond" w:cs="Garamond"/>
        <w:b/>
        <w:bCs/>
        <w:sz w:val="19"/>
        <w:szCs w:val="19"/>
      </w:rPr>
    </w:pPr>
    <w:r>
      <w:rPr>
        <w:rFonts w:ascii="Garamond" w:hAnsi="Garamond" w:cs="Garamond"/>
        <w:b/>
        <w:bCs/>
        <w:sz w:val="19"/>
        <w:szCs w:val="19"/>
      </w:rPr>
      <w:t>AREA III – LAVORI PUBBLICI, MANUTENZIONE, PATRIMONIO E DEMANIO</w:t>
    </w:r>
  </w:p>
  <w:p w:rsidR="00E620AA" w:rsidRDefault="00000000">
    <w:pPr>
      <w:spacing w:after="0" w:line="240" w:lineRule="auto"/>
      <w:jc w:val="center"/>
      <w:rPr>
        <w:rFonts w:ascii="Garamond" w:hAnsi="Garamond" w:cs="Garamond"/>
        <w:b/>
        <w:bCs/>
        <w:sz w:val="19"/>
        <w:szCs w:val="19"/>
      </w:rPr>
    </w:pPr>
    <w:r>
      <w:rPr>
        <w:rFonts w:ascii="Garamond" w:hAnsi="Garamond" w:cs="Garamond"/>
        <w:b/>
        <w:bCs/>
        <w:sz w:val="19"/>
        <w:szCs w:val="19"/>
      </w:rPr>
      <w:t xml:space="preserve">PEC: </w:t>
    </w:r>
    <w:hyperlink r:id="rId2">
      <w:r>
        <w:rPr>
          <w:rStyle w:val="Collegamentoipertestuale"/>
          <w:rFonts w:ascii="Garamond" w:hAnsi="Garamond" w:cs="Garamond"/>
          <w:b/>
          <w:bCs/>
          <w:sz w:val="19"/>
          <w:szCs w:val="19"/>
        </w:rPr>
        <w:t>protocollo@pec.comune.mondragone.ce.it</w:t>
      </w:r>
    </w:hyperlink>
  </w:p>
  <w:p w:rsidR="00E620AA" w:rsidRDefault="00E620AA">
    <w:pPr>
      <w:spacing w:after="0" w:line="240" w:lineRule="auto"/>
      <w:jc w:val="center"/>
      <w:rPr>
        <w:rFonts w:ascii="Garamond" w:hAnsi="Garamond" w:cs="Garamond"/>
        <w:b/>
        <w:bCs/>
        <w:sz w:val="19"/>
        <w:szCs w:val="19"/>
      </w:rPr>
    </w:pPr>
  </w:p>
  <w:p w:rsidR="00E620AA" w:rsidRDefault="00E620AA">
    <w:pPr>
      <w:spacing w:after="0" w:line="240" w:lineRule="auto"/>
      <w:jc w:val="center"/>
      <w:rPr>
        <w:rFonts w:ascii="Garamond" w:hAnsi="Garamond" w:cs="Garamond"/>
        <w:b/>
        <w:bCs/>
        <w:sz w:val="19"/>
        <w:szCs w:val="19"/>
      </w:rPr>
    </w:pPr>
  </w:p>
  <w:p w:rsidR="00E620AA" w:rsidRDefault="00000000">
    <w:pPr>
      <w:tabs>
        <w:tab w:val="left" w:pos="6770"/>
      </w:tabs>
      <w:spacing w:after="0" w:line="240" w:lineRule="auto"/>
      <w:rPr>
        <w:b/>
        <w:bCs/>
      </w:rPr>
    </w:pPr>
    <w:r>
      <w:rPr>
        <w:b/>
        <w:bCs/>
      </w:rPr>
      <w:tab/>
    </w:r>
  </w:p>
  <w:p w:rsidR="00E620AA" w:rsidRDefault="00000000">
    <w:pPr>
      <w:tabs>
        <w:tab w:val="left" w:pos="4380"/>
      </w:tabs>
      <w:spacing w:after="0" w:line="240" w:lineRule="auto"/>
      <w:rPr>
        <w:b/>
        <w:bCs/>
      </w:rPr>
    </w:pPr>
    <w:r>
      <w:rPr>
        <w:b/>
        <w:b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oNotTrackMoves/>
  <w:defaultTabStop w:val="720"/>
  <w:autoHyphenation/>
  <w:hyphenationZone w:val="0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20AA"/>
    <w:rsid w:val="00570E73"/>
    <w:rsid w:val="008A1B8A"/>
    <w:rsid w:val="00E6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F2BA4F8-9629-5946-8FC1-EDE220B9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Garamond" w:eastAsia="Calibri" w:hAnsi="Garamond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IntestazioneCarattere">
    <w:name w:val="Intestazione Carattere"/>
    <w:qFormat/>
    <w:rPr>
      <w:sz w:val="22"/>
      <w:szCs w:val="22"/>
    </w:rPr>
  </w:style>
  <w:style w:type="character" w:customStyle="1" w:styleId="PidipaginaCarattere">
    <w:name w:val="Piè di pagina Carattere"/>
    <w:qFormat/>
    <w:rPr>
      <w:sz w:val="22"/>
      <w:szCs w:val="22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styleId="Enfasigrassetto">
    <w:name w:val="Strong"/>
    <w:qFormat/>
    <w:rPr>
      <w:b/>
      <w:b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Blackadder ITC" w:eastAsia="Times New Roman" w:hAnsi="Blackadder ITC" w:cs="Blackadder ITC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qFormat/>
    <w:pPr>
      <w:ind w:left="720"/>
      <w:contextualSpacing/>
    </w:pPr>
    <w:rPr>
      <w:rFonts w:eastAsia="Calibri"/>
    </w:rPr>
  </w:style>
  <w:style w:type="paragraph" w:customStyle="1" w:styleId="CM1">
    <w:name w:val="CM1"/>
    <w:basedOn w:val="Default"/>
    <w:next w:val="Default"/>
    <w:qFormat/>
    <w:rPr>
      <w:rFonts w:ascii="LFAEH F+ Gill Sans;Calibri" w:hAnsi="LFAEH F+ Gill Sans;Calibri" w:cs="Times New Roman"/>
    </w:rPr>
  </w:style>
  <w:style w:type="paragraph" w:customStyle="1" w:styleId="CM2">
    <w:name w:val="CM2"/>
    <w:basedOn w:val="Default"/>
    <w:next w:val="Default"/>
    <w:qFormat/>
    <w:pPr>
      <w:spacing w:line="426" w:lineRule="atLeast"/>
    </w:pPr>
    <w:rPr>
      <w:rFonts w:ascii="LFAEH F+ Gill Sans;Calibri" w:hAnsi="LFAEH F+ Gill Sans;Calibri" w:cs="Times New Roman"/>
    </w:rPr>
  </w:style>
  <w:style w:type="paragraph" w:customStyle="1" w:styleId="Nessunostileparagrafo">
    <w:name w:val="[Nessuno stile paragrafo]"/>
    <w:qFormat/>
    <w:pPr>
      <w:widowControl w:val="0"/>
      <w:suppressAutoHyphens/>
      <w:autoSpaceDE w:val="0"/>
      <w:spacing w:line="288" w:lineRule="auto"/>
    </w:pPr>
    <w:rPr>
      <w:rFonts w:ascii="NewAster;Cambria" w:eastAsia="Times New Roman" w:hAnsi="NewAster;Cambria" w:cs="NewAster;Cambria"/>
      <w:color w:val="000000"/>
      <w:sz w:val="24"/>
      <w:szCs w:val="24"/>
      <w:lang w:eastAsia="zh-CN"/>
    </w:rPr>
  </w:style>
  <w:style w:type="paragraph" w:styleId="NormaleWeb">
    <w:name w:val="Normal (Web)"/>
    <w:basedOn w:val="Normale"/>
    <w:qFormat/>
    <w:rPr>
      <w:rFonts w:ascii="Times New Roman" w:hAnsi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munemondragone.traspare.com/market_surveys/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comune.mondragone.c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C161A1-ED15-3C47-AC37-BBE234635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Canone Dem. anno 2023</dc:title>
  <dc:subject/>
  <dc:creator>stefania mezzero</dc:creator>
  <cp:keywords/>
  <dc:description>Solid Converter PDF</dc:description>
  <cp:lastModifiedBy>luca taglialatela</cp:lastModifiedBy>
  <cp:revision>6</cp:revision>
  <cp:lastPrinted>2026-02-23T18:24:00Z</cp:lastPrinted>
  <dcterms:created xsi:type="dcterms:W3CDTF">2026-05-11T07:31:00Z</dcterms:created>
  <dcterms:modified xsi:type="dcterms:W3CDTF">2026-09-10T14:27:00Z</dcterms:modified>
  <dc:language>en-US</dc:language>
</cp:coreProperties>
</file>